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B93EB" w14:textId="77777777" w:rsidR="00D40D34" w:rsidRDefault="00D40D34" w:rsidP="00D40D34">
      <w:pPr>
        <w:widowControl w:val="0"/>
        <w:autoSpaceDE w:val="0"/>
        <w:autoSpaceDN w:val="0"/>
        <w:spacing w:after="240" w:line="240" w:lineRule="auto"/>
        <w:ind w:left="284"/>
        <w:jc w:val="center"/>
        <w:rPr>
          <w:rFonts w:cstheme="minorHAnsi"/>
          <w:b/>
          <w:sz w:val="28"/>
          <w:szCs w:val="28"/>
          <w:u w:val="single"/>
        </w:rPr>
      </w:pPr>
      <w:r>
        <w:rPr>
          <w:rFonts w:cstheme="minorHAnsi"/>
          <w:b/>
          <w:sz w:val="28"/>
          <w:szCs w:val="28"/>
          <w:u w:val="single"/>
        </w:rPr>
        <w:t>D</w:t>
      </w:r>
      <w:r w:rsidR="00751632" w:rsidRPr="009115B4">
        <w:rPr>
          <w:rFonts w:cstheme="minorHAnsi"/>
          <w:b/>
          <w:sz w:val="28"/>
          <w:szCs w:val="28"/>
          <w:u w:val="single"/>
        </w:rPr>
        <w:t>ecision making structure</w:t>
      </w:r>
      <w:r>
        <w:rPr>
          <w:rFonts w:cstheme="minorHAnsi"/>
          <w:b/>
          <w:sz w:val="28"/>
          <w:szCs w:val="28"/>
          <w:u w:val="single"/>
        </w:rPr>
        <w:t xml:space="preserve"> for Covid-19 outbreaks within </w:t>
      </w:r>
    </w:p>
    <w:p w14:paraId="3981188F" w14:textId="3D31DF2D" w:rsidR="00D40D34" w:rsidRPr="009115B4" w:rsidRDefault="00D40D34" w:rsidP="00D40D34">
      <w:pPr>
        <w:widowControl w:val="0"/>
        <w:autoSpaceDE w:val="0"/>
        <w:autoSpaceDN w:val="0"/>
        <w:spacing w:after="240" w:line="240" w:lineRule="auto"/>
        <w:ind w:left="284"/>
        <w:jc w:val="center"/>
        <w:rPr>
          <w:rFonts w:cstheme="minorHAnsi"/>
          <w:b/>
          <w:sz w:val="28"/>
          <w:szCs w:val="28"/>
          <w:u w:val="single"/>
        </w:rPr>
      </w:pPr>
      <w:r>
        <w:rPr>
          <w:rFonts w:cstheme="minorHAnsi"/>
          <w:b/>
          <w:sz w:val="28"/>
          <w:szCs w:val="28"/>
          <w:u w:val="single"/>
        </w:rPr>
        <w:t>the University of Bolton</w:t>
      </w:r>
    </w:p>
    <w:p w14:paraId="10A76851" w14:textId="3CF0F0A1" w:rsidR="00751632" w:rsidRDefault="00751632" w:rsidP="009115B4">
      <w:pPr>
        <w:widowControl w:val="0"/>
        <w:autoSpaceDE w:val="0"/>
        <w:autoSpaceDN w:val="0"/>
        <w:spacing w:after="240" w:line="240" w:lineRule="auto"/>
        <w:ind w:left="284"/>
        <w:jc w:val="both"/>
        <w:rPr>
          <w:rFonts w:cstheme="minorHAnsi"/>
          <w:sz w:val="28"/>
          <w:szCs w:val="28"/>
        </w:rPr>
      </w:pPr>
      <w:r w:rsidRPr="00425BB6">
        <w:rPr>
          <w:rFonts w:cstheme="minorHAnsi"/>
          <w:sz w:val="28"/>
          <w:szCs w:val="28"/>
        </w:rPr>
        <w:t xml:space="preserve">The University of Bolton </w:t>
      </w:r>
      <w:r w:rsidR="00425BB6" w:rsidRPr="00425BB6">
        <w:rPr>
          <w:rFonts w:cstheme="minorHAnsi"/>
          <w:sz w:val="28"/>
          <w:szCs w:val="28"/>
        </w:rPr>
        <w:t xml:space="preserve">has established three levels of command to </w:t>
      </w:r>
      <w:r w:rsidRPr="00425BB6">
        <w:rPr>
          <w:rFonts w:cstheme="minorHAnsi"/>
          <w:sz w:val="28"/>
          <w:szCs w:val="28"/>
        </w:rPr>
        <w:t>manage</w:t>
      </w:r>
      <w:r w:rsidR="00425BB6" w:rsidRPr="00425BB6">
        <w:rPr>
          <w:rFonts w:cstheme="minorHAnsi"/>
          <w:sz w:val="28"/>
          <w:szCs w:val="28"/>
        </w:rPr>
        <w:t xml:space="preserve"> </w:t>
      </w:r>
      <w:r w:rsidRPr="00425BB6">
        <w:rPr>
          <w:rFonts w:cstheme="minorHAnsi"/>
          <w:sz w:val="28"/>
          <w:szCs w:val="28"/>
        </w:rPr>
        <w:t xml:space="preserve">any </w:t>
      </w:r>
      <w:r w:rsidR="00425BB6" w:rsidRPr="00425BB6">
        <w:rPr>
          <w:rFonts w:cstheme="minorHAnsi"/>
          <w:sz w:val="28"/>
          <w:szCs w:val="28"/>
        </w:rPr>
        <w:t>outbreak</w:t>
      </w:r>
      <w:r w:rsidR="009115B4">
        <w:rPr>
          <w:rFonts w:cstheme="minorHAnsi"/>
          <w:sz w:val="28"/>
          <w:szCs w:val="28"/>
        </w:rPr>
        <w:t>:</w:t>
      </w:r>
    </w:p>
    <w:p w14:paraId="645D3C0F" w14:textId="4470E358" w:rsidR="009115B4" w:rsidRPr="009115B4" w:rsidRDefault="009115B4" w:rsidP="009115B4">
      <w:pPr>
        <w:tabs>
          <w:tab w:val="left" w:pos="1124"/>
        </w:tabs>
        <w:spacing w:before="360" w:line="276" w:lineRule="auto"/>
        <w:ind w:left="403" w:right="630"/>
        <w:jc w:val="both"/>
        <w:rPr>
          <w:rFonts w:cstheme="minorHAnsi"/>
          <w:b/>
          <w:i/>
          <w:sz w:val="24"/>
        </w:rPr>
      </w:pPr>
      <w:r w:rsidRPr="009115B4">
        <w:rPr>
          <w:rFonts w:cstheme="minorHAnsi"/>
          <w:i/>
          <w:sz w:val="24"/>
        </w:rPr>
        <w:t>The national definition of an</w:t>
      </w:r>
      <w:r>
        <w:rPr>
          <w:rFonts w:cstheme="minorHAnsi"/>
          <w:i/>
          <w:sz w:val="24"/>
        </w:rPr>
        <w:t xml:space="preserve"> </w:t>
      </w:r>
      <w:r w:rsidRPr="009115B4">
        <w:rPr>
          <w:rFonts w:cstheme="minorHAnsi"/>
          <w:i/>
          <w:sz w:val="24"/>
        </w:rPr>
        <w:t xml:space="preserve">outbreak in a university or other higher education setting is more than one confirmed case of COVID-19 among students or staff associated with a setting or site within a 28-day period </w:t>
      </w:r>
      <w:r w:rsidRPr="009115B4">
        <w:rPr>
          <w:rFonts w:cstheme="minorHAnsi"/>
          <w:b/>
          <w:i/>
          <w:sz w:val="24"/>
          <w:u w:val="thick"/>
        </w:rPr>
        <w:t>plus either of the following</w:t>
      </w:r>
      <w:r w:rsidRPr="009115B4">
        <w:rPr>
          <w:rFonts w:cstheme="minorHAnsi"/>
          <w:b/>
          <w:i/>
          <w:spacing w:val="-3"/>
          <w:sz w:val="24"/>
          <w:u w:val="thick"/>
        </w:rPr>
        <w:t xml:space="preserve"> </w:t>
      </w:r>
      <w:r w:rsidRPr="009115B4">
        <w:rPr>
          <w:rFonts w:cstheme="minorHAnsi"/>
          <w:b/>
          <w:i/>
          <w:sz w:val="24"/>
          <w:u w:val="thick"/>
        </w:rPr>
        <w:t>conditions:</w:t>
      </w:r>
    </w:p>
    <w:p w14:paraId="67D5E702" w14:textId="77777777" w:rsidR="009115B4" w:rsidRPr="009115B4" w:rsidRDefault="009115B4" w:rsidP="009115B4">
      <w:pPr>
        <w:pStyle w:val="BodyText"/>
        <w:spacing w:before="10"/>
        <w:jc w:val="both"/>
        <w:rPr>
          <w:rFonts w:asciiTheme="minorHAnsi" w:hAnsiTheme="minorHAnsi" w:cstheme="minorHAnsi"/>
          <w:b/>
          <w:i/>
          <w:sz w:val="20"/>
        </w:rPr>
      </w:pPr>
    </w:p>
    <w:p w14:paraId="140C3695" w14:textId="77777777" w:rsidR="009115B4" w:rsidRPr="009115B4" w:rsidRDefault="009115B4" w:rsidP="009115B4">
      <w:pPr>
        <w:pStyle w:val="ListParagraph"/>
        <w:numPr>
          <w:ilvl w:val="2"/>
          <w:numId w:val="1"/>
        </w:numPr>
        <w:tabs>
          <w:tab w:val="left" w:pos="1398"/>
        </w:tabs>
        <w:spacing w:before="1" w:line="268" w:lineRule="auto"/>
        <w:ind w:left="1006" w:right="842" w:hanging="286"/>
        <w:jc w:val="both"/>
        <w:rPr>
          <w:rFonts w:asciiTheme="minorHAnsi" w:hAnsiTheme="minorHAnsi" w:cstheme="minorHAnsi"/>
          <w:i/>
          <w:sz w:val="24"/>
        </w:rPr>
      </w:pPr>
      <w:r w:rsidRPr="009115B4">
        <w:rPr>
          <w:rFonts w:asciiTheme="minorHAnsi" w:hAnsiTheme="minorHAnsi" w:cstheme="minorHAnsi"/>
          <w:i/>
          <w:sz w:val="24"/>
        </w:rPr>
        <w:t>there has been direct contact between at least two of the cases within</w:t>
      </w:r>
      <w:r w:rsidRPr="009115B4">
        <w:rPr>
          <w:rFonts w:asciiTheme="minorHAnsi" w:hAnsiTheme="minorHAnsi" w:cstheme="minorHAnsi"/>
          <w:i/>
          <w:spacing w:val="-32"/>
          <w:sz w:val="24"/>
        </w:rPr>
        <w:t xml:space="preserve"> </w:t>
      </w:r>
      <w:r w:rsidRPr="009115B4">
        <w:rPr>
          <w:rFonts w:asciiTheme="minorHAnsi" w:hAnsiTheme="minorHAnsi" w:cstheme="minorHAnsi"/>
          <w:i/>
          <w:sz w:val="24"/>
        </w:rPr>
        <w:t>the setting;</w:t>
      </w:r>
      <w:r w:rsidRPr="009115B4">
        <w:rPr>
          <w:rFonts w:asciiTheme="minorHAnsi" w:hAnsiTheme="minorHAnsi" w:cstheme="minorHAnsi"/>
          <w:i/>
          <w:spacing w:val="-1"/>
          <w:sz w:val="24"/>
        </w:rPr>
        <w:t xml:space="preserve"> </w:t>
      </w:r>
      <w:r w:rsidRPr="009115B4">
        <w:rPr>
          <w:rFonts w:asciiTheme="minorHAnsi" w:hAnsiTheme="minorHAnsi" w:cstheme="minorHAnsi"/>
          <w:i/>
          <w:sz w:val="24"/>
        </w:rPr>
        <w:t>or</w:t>
      </w:r>
    </w:p>
    <w:p w14:paraId="3396B976" w14:textId="77777777" w:rsidR="009115B4" w:rsidRPr="009115B4" w:rsidRDefault="009115B4" w:rsidP="009115B4">
      <w:pPr>
        <w:pStyle w:val="BodyText"/>
        <w:spacing w:before="5"/>
        <w:jc w:val="both"/>
        <w:rPr>
          <w:rFonts w:asciiTheme="minorHAnsi" w:hAnsiTheme="minorHAnsi" w:cstheme="minorHAnsi"/>
          <w:i/>
          <w:sz w:val="21"/>
        </w:rPr>
      </w:pPr>
    </w:p>
    <w:p w14:paraId="3855BAB6" w14:textId="77777777" w:rsidR="009115B4" w:rsidRPr="009115B4" w:rsidRDefault="009115B4" w:rsidP="009115B4">
      <w:pPr>
        <w:pStyle w:val="ListParagraph"/>
        <w:numPr>
          <w:ilvl w:val="2"/>
          <w:numId w:val="1"/>
        </w:numPr>
        <w:tabs>
          <w:tab w:val="left" w:pos="1398"/>
        </w:tabs>
        <w:spacing w:line="268" w:lineRule="auto"/>
        <w:ind w:left="1006" w:right="356" w:hanging="286"/>
        <w:jc w:val="both"/>
        <w:rPr>
          <w:rFonts w:asciiTheme="minorHAnsi" w:hAnsiTheme="minorHAnsi" w:cstheme="minorHAnsi"/>
          <w:i/>
          <w:sz w:val="24"/>
        </w:rPr>
      </w:pPr>
      <w:r w:rsidRPr="009115B4">
        <w:rPr>
          <w:rFonts w:asciiTheme="minorHAnsi" w:hAnsiTheme="minorHAnsi" w:cstheme="minorHAnsi"/>
          <w:i/>
          <w:sz w:val="24"/>
        </w:rPr>
        <w:t>there is no sustained community transmission of COVID-19 and no alternative source of infection beyond the school identified for the confirmed</w:t>
      </w:r>
      <w:r w:rsidRPr="009115B4">
        <w:rPr>
          <w:rFonts w:asciiTheme="minorHAnsi" w:hAnsiTheme="minorHAnsi" w:cstheme="minorHAnsi"/>
          <w:i/>
          <w:spacing w:val="-15"/>
          <w:sz w:val="24"/>
        </w:rPr>
        <w:t xml:space="preserve"> </w:t>
      </w:r>
      <w:r w:rsidRPr="009115B4">
        <w:rPr>
          <w:rFonts w:asciiTheme="minorHAnsi" w:hAnsiTheme="minorHAnsi" w:cstheme="minorHAnsi"/>
          <w:i/>
          <w:sz w:val="24"/>
        </w:rPr>
        <w:t>cases.</w:t>
      </w:r>
    </w:p>
    <w:p w14:paraId="024C36C5" w14:textId="77777777" w:rsidR="009115B4" w:rsidRPr="009115B4" w:rsidRDefault="009115B4" w:rsidP="009115B4">
      <w:pPr>
        <w:widowControl w:val="0"/>
        <w:autoSpaceDE w:val="0"/>
        <w:autoSpaceDN w:val="0"/>
        <w:spacing w:after="240" w:line="240" w:lineRule="auto"/>
        <w:ind w:left="284"/>
        <w:jc w:val="both"/>
        <w:rPr>
          <w:rFonts w:cstheme="minorHAnsi"/>
          <w:sz w:val="28"/>
          <w:szCs w:val="28"/>
        </w:rPr>
      </w:pPr>
    </w:p>
    <w:p w14:paraId="0159B10A" w14:textId="5E328685" w:rsidR="00751632" w:rsidRDefault="00751632" w:rsidP="009115B4">
      <w:pPr>
        <w:widowControl w:val="0"/>
        <w:autoSpaceDE w:val="0"/>
        <w:autoSpaceDN w:val="0"/>
        <w:spacing w:after="240" w:line="240" w:lineRule="auto"/>
        <w:ind w:left="284"/>
        <w:jc w:val="both"/>
        <w:rPr>
          <w:rFonts w:cstheme="minorHAnsi"/>
          <w:sz w:val="28"/>
          <w:szCs w:val="28"/>
        </w:rPr>
      </w:pPr>
      <w:r w:rsidRPr="00425BB6">
        <w:rPr>
          <w:rFonts w:cstheme="minorHAnsi"/>
          <w:sz w:val="28"/>
          <w:szCs w:val="28"/>
        </w:rPr>
        <w:t xml:space="preserve">The level of command which takes operational ownership depends on the size of that outbreak. </w:t>
      </w:r>
    </w:p>
    <w:p w14:paraId="535F77F4" w14:textId="5589B739" w:rsidR="008A118C" w:rsidRDefault="008A118C" w:rsidP="009115B4">
      <w:pPr>
        <w:widowControl w:val="0"/>
        <w:autoSpaceDE w:val="0"/>
        <w:autoSpaceDN w:val="0"/>
        <w:spacing w:after="240" w:line="240" w:lineRule="auto"/>
        <w:ind w:left="284"/>
        <w:jc w:val="both"/>
        <w:rPr>
          <w:rFonts w:cstheme="minorHAnsi"/>
          <w:sz w:val="28"/>
          <w:szCs w:val="28"/>
        </w:rPr>
      </w:pPr>
      <w:r>
        <w:rPr>
          <w:rFonts w:cstheme="minorHAnsi"/>
          <w:sz w:val="28"/>
          <w:szCs w:val="28"/>
        </w:rPr>
        <w:t xml:space="preserve">Decisions will be made based on the </w:t>
      </w:r>
      <w:r w:rsidR="00C95929">
        <w:rPr>
          <w:rFonts w:cstheme="minorHAnsi"/>
          <w:sz w:val="28"/>
          <w:szCs w:val="28"/>
        </w:rPr>
        <w:t xml:space="preserve">available information, and informed by the local and institutional risk assessments, </w:t>
      </w:r>
      <w:r w:rsidR="00B13F21">
        <w:rPr>
          <w:rFonts w:cstheme="minorHAnsi"/>
          <w:sz w:val="28"/>
          <w:szCs w:val="28"/>
        </w:rPr>
        <w:t>internal track and trace information</w:t>
      </w:r>
      <w:r w:rsidR="00F13000">
        <w:rPr>
          <w:rFonts w:cstheme="minorHAnsi"/>
          <w:sz w:val="28"/>
          <w:szCs w:val="28"/>
        </w:rPr>
        <w:t xml:space="preserve"> and advice from local Public Health England and </w:t>
      </w:r>
      <w:r w:rsidR="0019518A">
        <w:rPr>
          <w:rFonts w:cstheme="minorHAnsi"/>
          <w:sz w:val="28"/>
          <w:szCs w:val="28"/>
        </w:rPr>
        <w:t xml:space="preserve">the government regulations and guidance in force at the time. </w:t>
      </w:r>
    </w:p>
    <w:p w14:paraId="1F46E5EB" w14:textId="7C8BC9C1" w:rsidR="00094387" w:rsidRPr="00425BB6" w:rsidRDefault="00094387" w:rsidP="009115B4">
      <w:pPr>
        <w:widowControl w:val="0"/>
        <w:autoSpaceDE w:val="0"/>
        <w:autoSpaceDN w:val="0"/>
        <w:spacing w:after="240" w:line="240" w:lineRule="auto"/>
        <w:ind w:left="284"/>
        <w:jc w:val="both"/>
        <w:rPr>
          <w:rFonts w:cstheme="minorHAnsi"/>
          <w:sz w:val="28"/>
          <w:szCs w:val="28"/>
        </w:rPr>
      </w:pPr>
      <w:r>
        <w:rPr>
          <w:rFonts w:cstheme="minorHAnsi"/>
          <w:sz w:val="28"/>
          <w:szCs w:val="28"/>
        </w:rPr>
        <w:t xml:space="preserve">This </w:t>
      </w:r>
      <w:r w:rsidR="00E90A93">
        <w:rPr>
          <w:rFonts w:cstheme="minorHAnsi"/>
          <w:sz w:val="28"/>
          <w:szCs w:val="28"/>
        </w:rPr>
        <w:t>decision-making</w:t>
      </w:r>
      <w:r>
        <w:rPr>
          <w:rFonts w:cstheme="minorHAnsi"/>
          <w:sz w:val="28"/>
          <w:szCs w:val="28"/>
        </w:rPr>
        <w:t xml:space="preserve"> structure which is specifically </w:t>
      </w:r>
      <w:r w:rsidR="00EE0974">
        <w:rPr>
          <w:rFonts w:cstheme="minorHAnsi"/>
          <w:sz w:val="28"/>
          <w:szCs w:val="28"/>
        </w:rPr>
        <w:t xml:space="preserve">in place for outbreaks of the Covid-19 virus within the University settings, </w:t>
      </w:r>
      <w:r>
        <w:rPr>
          <w:rFonts w:cstheme="minorHAnsi"/>
          <w:sz w:val="28"/>
          <w:szCs w:val="28"/>
        </w:rPr>
        <w:t xml:space="preserve">complements the existing business continuity and crisis management </w:t>
      </w:r>
      <w:r w:rsidR="002654AA">
        <w:rPr>
          <w:rFonts w:cstheme="minorHAnsi"/>
          <w:sz w:val="28"/>
          <w:szCs w:val="28"/>
        </w:rPr>
        <w:t>processes, and should be read in conjunction with those documents</w:t>
      </w:r>
    </w:p>
    <w:p w14:paraId="68E9764A" w14:textId="222EF68D" w:rsidR="00751632" w:rsidRPr="00425BB6" w:rsidRDefault="00751632" w:rsidP="009115B4">
      <w:pPr>
        <w:widowControl w:val="0"/>
        <w:autoSpaceDE w:val="0"/>
        <w:autoSpaceDN w:val="0"/>
        <w:spacing w:after="240" w:line="240" w:lineRule="auto"/>
        <w:ind w:left="284"/>
        <w:jc w:val="both"/>
        <w:rPr>
          <w:rFonts w:cstheme="minorHAnsi"/>
          <w:sz w:val="28"/>
          <w:szCs w:val="28"/>
        </w:rPr>
      </w:pPr>
      <w:r w:rsidRPr="00425BB6">
        <w:rPr>
          <w:rFonts w:cstheme="minorHAnsi"/>
          <w:sz w:val="28"/>
          <w:szCs w:val="28"/>
        </w:rPr>
        <w:t xml:space="preserve">The Vice Chancellors’ Group acts as </w:t>
      </w:r>
      <w:r w:rsidRPr="00425BB6">
        <w:rPr>
          <w:rFonts w:cstheme="minorHAnsi"/>
          <w:b/>
          <w:i/>
          <w:sz w:val="28"/>
          <w:szCs w:val="28"/>
        </w:rPr>
        <w:t xml:space="preserve">Gold </w:t>
      </w:r>
      <w:r w:rsidR="00E90A93" w:rsidRPr="00425BB6">
        <w:rPr>
          <w:rFonts w:cstheme="minorHAnsi"/>
          <w:b/>
          <w:i/>
          <w:sz w:val="28"/>
          <w:szCs w:val="28"/>
        </w:rPr>
        <w:t>Command</w:t>
      </w:r>
      <w:r w:rsidR="00E90A93" w:rsidRPr="00425BB6">
        <w:rPr>
          <w:rFonts w:cstheme="minorHAnsi"/>
          <w:sz w:val="28"/>
          <w:szCs w:val="28"/>
        </w:rPr>
        <w:t xml:space="preserve"> and</w:t>
      </w:r>
      <w:r w:rsidRPr="00425BB6">
        <w:rPr>
          <w:rFonts w:cstheme="minorHAnsi"/>
          <w:sz w:val="28"/>
          <w:szCs w:val="28"/>
        </w:rPr>
        <w:t xml:space="preserve"> is responsible for decisions concerning strategic and longer-term issues affecting the whole University, such as the closure of a whole campus for a period of time. </w:t>
      </w:r>
    </w:p>
    <w:p w14:paraId="5F6BF4C9" w14:textId="77777777" w:rsidR="00751632" w:rsidRPr="00425BB6" w:rsidRDefault="00751632" w:rsidP="009115B4">
      <w:pPr>
        <w:widowControl w:val="0"/>
        <w:autoSpaceDE w:val="0"/>
        <w:autoSpaceDN w:val="0"/>
        <w:spacing w:after="240" w:line="240" w:lineRule="auto"/>
        <w:ind w:left="284"/>
        <w:jc w:val="both"/>
        <w:rPr>
          <w:rFonts w:cstheme="minorHAnsi"/>
          <w:sz w:val="28"/>
          <w:szCs w:val="28"/>
        </w:rPr>
      </w:pPr>
      <w:r w:rsidRPr="00425BB6">
        <w:rPr>
          <w:rFonts w:cstheme="minorHAnsi"/>
          <w:sz w:val="28"/>
          <w:szCs w:val="28"/>
        </w:rPr>
        <w:t>Strategic decisions such as moving H</w:t>
      </w:r>
      <w:r w:rsidR="00425BB6">
        <w:rPr>
          <w:rFonts w:cstheme="minorHAnsi"/>
          <w:sz w:val="28"/>
          <w:szCs w:val="28"/>
        </w:rPr>
        <w:t>igher Education Institution</w:t>
      </w:r>
      <w:r w:rsidRPr="00425BB6">
        <w:rPr>
          <w:rFonts w:cstheme="minorHAnsi"/>
          <w:sz w:val="28"/>
          <w:szCs w:val="28"/>
        </w:rPr>
        <w:t xml:space="preserve"> tiers or mobilizing on campus testing due to increased prevalence of infection in Bolton that requires interventions on the whole Bolton community, will be escalated to the Vice Chancellor, Director of Public Health and Public Health England and will be discussed at the Health Protection Board. </w:t>
      </w:r>
    </w:p>
    <w:p w14:paraId="5046D837" w14:textId="77777777" w:rsidR="00D432F9" w:rsidRDefault="00D432F9" w:rsidP="009115B4">
      <w:pPr>
        <w:widowControl w:val="0"/>
        <w:autoSpaceDE w:val="0"/>
        <w:autoSpaceDN w:val="0"/>
        <w:spacing w:after="240" w:line="240" w:lineRule="auto"/>
        <w:ind w:left="284"/>
        <w:jc w:val="both"/>
        <w:rPr>
          <w:rFonts w:cstheme="minorHAnsi"/>
          <w:sz w:val="28"/>
          <w:szCs w:val="28"/>
        </w:rPr>
      </w:pPr>
    </w:p>
    <w:p w14:paraId="4B9AAAA5" w14:textId="3D3C604A" w:rsidR="00751632" w:rsidRPr="00425BB6" w:rsidRDefault="00751632" w:rsidP="009115B4">
      <w:pPr>
        <w:widowControl w:val="0"/>
        <w:autoSpaceDE w:val="0"/>
        <w:autoSpaceDN w:val="0"/>
        <w:spacing w:after="240" w:line="240" w:lineRule="auto"/>
        <w:ind w:left="284"/>
        <w:jc w:val="both"/>
        <w:rPr>
          <w:rFonts w:cstheme="minorHAnsi"/>
          <w:sz w:val="28"/>
          <w:szCs w:val="28"/>
        </w:rPr>
      </w:pPr>
      <w:r w:rsidRPr="00425BB6">
        <w:rPr>
          <w:rFonts w:cstheme="minorHAnsi"/>
          <w:sz w:val="28"/>
          <w:szCs w:val="28"/>
        </w:rPr>
        <w:lastRenderedPageBreak/>
        <w:t xml:space="preserve">The Executive Board acts as a </w:t>
      </w:r>
      <w:r w:rsidRPr="00425BB6">
        <w:rPr>
          <w:rFonts w:cstheme="minorHAnsi"/>
          <w:b/>
          <w:i/>
          <w:sz w:val="28"/>
          <w:szCs w:val="28"/>
        </w:rPr>
        <w:t>Silver Command</w:t>
      </w:r>
      <w:r w:rsidRPr="00425BB6">
        <w:rPr>
          <w:rFonts w:cstheme="minorHAnsi"/>
          <w:sz w:val="28"/>
          <w:szCs w:val="28"/>
        </w:rPr>
        <w:t xml:space="preserve"> and is responsible for managing outbreaks at a school or departmental level. </w:t>
      </w:r>
    </w:p>
    <w:p w14:paraId="07915DCD" w14:textId="77777777" w:rsidR="00751632" w:rsidRPr="00425BB6" w:rsidRDefault="00751632" w:rsidP="009115B4">
      <w:pPr>
        <w:widowControl w:val="0"/>
        <w:autoSpaceDE w:val="0"/>
        <w:autoSpaceDN w:val="0"/>
        <w:spacing w:after="240" w:line="240" w:lineRule="auto"/>
        <w:ind w:left="284"/>
        <w:jc w:val="both"/>
        <w:rPr>
          <w:rFonts w:cstheme="minorHAnsi"/>
          <w:sz w:val="28"/>
          <w:szCs w:val="28"/>
        </w:rPr>
      </w:pPr>
      <w:r w:rsidRPr="00425BB6">
        <w:rPr>
          <w:rFonts w:cstheme="minorHAnsi"/>
          <w:sz w:val="28"/>
          <w:szCs w:val="28"/>
        </w:rPr>
        <w:t>Representatives of Silver &amp; Gold are active participants at both a strategic and operational level in the Outbreak Control Board; the Multi-Infrastructure Partnership Silver Group; the Bolton- wide Comms Cell; Health and Universities Joint Working Groups</w:t>
      </w:r>
    </w:p>
    <w:p w14:paraId="6EC83D7D" w14:textId="111AB547" w:rsidR="00751632" w:rsidRDefault="00751632" w:rsidP="009115B4">
      <w:pPr>
        <w:widowControl w:val="0"/>
        <w:autoSpaceDE w:val="0"/>
        <w:autoSpaceDN w:val="0"/>
        <w:spacing w:after="240" w:line="240" w:lineRule="auto"/>
        <w:ind w:left="284"/>
        <w:jc w:val="both"/>
        <w:rPr>
          <w:rFonts w:cstheme="minorHAnsi"/>
          <w:sz w:val="28"/>
          <w:szCs w:val="28"/>
        </w:rPr>
      </w:pPr>
      <w:r w:rsidRPr="00425BB6">
        <w:rPr>
          <w:rFonts w:cstheme="minorHAnsi"/>
          <w:sz w:val="28"/>
          <w:szCs w:val="28"/>
        </w:rPr>
        <w:t xml:space="preserve">The RTW&amp;S Group acts as a </w:t>
      </w:r>
      <w:r w:rsidRPr="00425BB6">
        <w:rPr>
          <w:rFonts w:cstheme="minorHAnsi"/>
          <w:b/>
          <w:i/>
          <w:sz w:val="28"/>
          <w:szCs w:val="28"/>
        </w:rPr>
        <w:t>Bronze Command</w:t>
      </w:r>
      <w:r w:rsidRPr="00425BB6">
        <w:rPr>
          <w:rFonts w:cstheme="minorHAnsi"/>
          <w:sz w:val="28"/>
          <w:szCs w:val="28"/>
        </w:rPr>
        <w:t xml:space="preserve"> and is chaired by the Registrar. The RTW&amp;S group manages individual cases, and small outbreaks of no more than a class or an office.</w:t>
      </w:r>
    </w:p>
    <w:p w14:paraId="48A91413" w14:textId="3452755D" w:rsidR="00DE6FC4" w:rsidRPr="00425BB6" w:rsidRDefault="00DE6FC4" w:rsidP="009115B4">
      <w:pPr>
        <w:widowControl w:val="0"/>
        <w:autoSpaceDE w:val="0"/>
        <w:autoSpaceDN w:val="0"/>
        <w:spacing w:after="240" w:line="240" w:lineRule="auto"/>
        <w:ind w:left="284"/>
        <w:jc w:val="both"/>
        <w:rPr>
          <w:rFonts w:cstheme="minorHAnsi"/>
          <w:sz w:val="28"/>
          <w:szCs w:val="28"/>
        </w:rPr>
      </w:pPr>
      <w:r>
        <w:rPr>
          <w:rFonts w:cstheme="minorHAnsi"/>
          <w:sz w:val="28"/>
          <w:szCs w:val="28"/>
        </w:rPr>
        <w:t>Locally the University of Bolton regularly meets with Bolton Council, local Public Health England and shares best practice with other Greater Manchester HEIs</w:t>
      </w:r>
      <w:r w:rsidR="00D432F9">
        <w:rPr>
          <w:rFonts w:cstheme="minorHAnsi"/>
          <w:sz w:val="28"/>
          <w:szCs w:val="28"/>
        </w:rPr>
        <w:t>.</w:t>
      </w:r>
    </w:p>
    <w:p w14:paraId="12EBD136" w14:textId="77777777" w:rsidR="00751632" w:rsidRPr="00425BB6" w:rsidRDefault="00751632" w:rsidP="009115B4">
      <w:pPr>
        <w:widowControl w:val="0"/>
        <w:autoSpaceDE w:val="0"/>
        <w:autoSpaceDN w:val="0"/>
        <w:spacing w:after="240" w:line="240" w:lineRule="auto"/>
        <w:ind w:left="284"/>
        <w:jc w:val="both"/>
        <w:rPr>
          <w:rFonts w:cstheme="minorHAnsi"/>
          <w:sz w:val="28"/>
          <w:szCs w:val="28"/>
        </w:rPr>
      </w:pPr>
      <w:r w:rsidRPr="00425BB6">
        <w:rPr>
          <w:rFonts w:cstheme="minorHAnsi"/>
          <w:sz w:val="28"/>
          <w:szCs w:val="28"/>
        </w:rPr>
        <w:t>Nationally the University of Bolton is an active participant of strategic and operational networks which all currently have a focus on the safe operation of higher education and the prevention and containment of Covid-19.</w:t>
      </w:r>
    </w:p>
    <w:p w14:paraId="7BC5AE33" w14:textId="77777777" w:rsidR="00751632" w:rsidRPr="00425BB6" w:rsidRDefault="00751632" w:rsidP="009115B4">
      <w:pPr>
        <w:widowControl w:val="0"/>
        <w:autoSpaceDE w:val="0"/>
        <w:autoSpaceDN w:val="0"/>
        <w:spacing w:after="240" w:line="240" w:lineRule="auto"/>
        <w:ind w:left="284"/>
        <w:jc w:val="both"/>
        <w:rPr>
          <w:rFonts w:cstheme="minorHAnsi"/>
          <w:sz w:val="28"/>
          <w:szCs w:val="28"/>
        </w:rPr>
      </w:pPr>
      <w:r w:rsidRPr="00425BB6">
        <w:rPr>
          <w:rFonts w:cstheme="minorHAnsi"/>
          <w:sz w:val="28"/>
          <w:szCs w:val="28"/>
        </w:rPr>
        <w:t xml:space="preserve">These include engagement through Universities UK, and USHA (Universities Safety and Health Association). </w:t>
      </w:r>
    </w:p>
    <w:p w14:paraId="69B8D376" w14:textId="77777777" w:rsidR="00D30CE2" w:rsidRPr="00425BB6" w:rsidRDefault="00243DA9" w:rsidP="009115B4">
      <w:pPr>
        <w:jc w:val="both"/>
        <w:rPr>
          <w:rFonts w:cstheme="minorHAnsi"/>
          <w:sz w:val="28"/>
          <w:szCs w:val="28"/>
        </w:rPr>
      </w:pPr>
    </w:p>
    <w:sectPr w:rsidR="00D30CE2" w:rsidRPr="00425B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28093F"/>
    <w:multiLevelType w:val="multilevel"/>
    <w:tmpl w:val="796CB64C"/>
    <w:lvl w:ilvl="0">
      <w:start w:val="1"/>
      <w:numFmt w:val="decimal"/>
      <w:lvlText w:val="%1."/>
      <w:lvlJc w:val="left"/>
      <w:pPr>
        <w:ind w:left="982" w:hanging="721"/>
      </w:pPr>
      <w:rPr>
        <w:rFonts w:ascii="Arial" w:eastAsia="Arial" w:hAnsi="Arial" w:cs="Arial" w:hint="default"/>
        <w:b/>
        <w:bCs/>
        <w:color w:val="97002D"/>
        <w:w w:val="100"/>
        <w:sz w:val="40"/>
        <w:szCs w:val="40"/>
        <w:lang w:val="en-US" w:eastAsia="en-US" w:bidi="ar-SA"/>
      </w:rPr>
    </w:lvl>
    <w:lvl w:ilvl="1">
      <w:start w:val="1"/>
      <w:numFmt w:val="decimal"/>
      <w:lvlText w:val="%1.%2"/>
      <w:lvlJc w:val="left"/>
      <w:pPr>
        <w:ind w:left="1123" w:hanging="720"/>
      </w:pPr>
      <w:rPr>
        <w:rFonts w:ascii="Arial" w:eastAsia="Arial" w:hAnsi="Arial" w:cs="Arial" w:hint="default"/>
        <w:spacing w:val="-3"/>
        <w:w w:val="99"/>
        <w:sz w:val="24"/>
        <w:szCs w:val="24"/>
        <w:lang w:val="en-US" w:eastAsia="en-US" w:bidi="ar-SA"/>
      </w:rPr>
    </w:lvl>
    <w:lvl w:ilvl="2">
      <w:numFmt w:val="bullet"/>
      <w:lvlText w:val=""/>
      <w:lvlJc w:val="left"/>
      <w:pPr>
        <w:ind w:left="1452" w:hanging="360"/>
      </w:pPr>
      <w:rPr>
        <w:rFonts w:ascii="Symbol" w:eastAsia="Symbol" w:hAnsi="Symbol" w:cs="Symbol" w:hint="default"/>
        <w:color w:val="97002D"/>
        <w:w w:val="100"/>
        <w:sz w:val="24"/>
        <w:szCs w:val="24"/>
        <w:lang w:val="en-US" w:eastAsia="en-US" w:bidi="ar-SA"/>
      </w:rPr>
    </w:lvl>
    <w:lvl w:ilvl="3">
      <w:numFmt w:val="bullet"/>
      <w:lvlText w:val=""/>
      <w:lvlJc w:val="left"/>
      <w:pPr>
        <w:ind w:left="2172" w:hanging="360"/>
      </w:pPr>
      <w:rPr>
        <w:rFonts w:ascii="Wingdings" w:eastAsia="Wingdings" w:hAnsi="Wingdings" w:cs="Wingdings" w:hint="default"/>
        <w:color w:val="97002D"/>
        <w:w w:val="100"/>
        <w:sz w:val="24"/>
        <w:szCs w:val="24"/>
        <w:lang w:val="en-US" w:eastAsia="en-US" w:bidi="ar-SA"/>
      </w:rPr>
    </w:lvl>
    <w:lvl w:ilvl="4">
      <w:numFmt w:val="bullet"/>
      <w:lvlText w:val=""/>
      <w:lvlJc w:val="left"/>
      <w:pPr>
        <w:ind w:left="2893" w:hanging="361"/>
      </w:pPr>
      <w:rPr>
        <w:rFonts w:ascii="Wingdings" w:eastAsia="Wingdings" w:hAnsi="Wingdings" w:cs="Wingdings" w:hint="default"/>
        <w:w w:val="100"/>
        <w:sz w:val="24"/>
        <w:szCs w:val="24"/>
        <w:lang w:val="en-US" w:eastAsia="en-US" w:bidi="ar-SA"/>
      </w:rPr>
    </w:lvl>
    <w:lvl w:ilvl="5">
      <w:numFmt w:val="bullet"/>
      <w:lvlText w:val="•"/>
      <w:lvlJc w:val="left"/>
      <w:pPr>
        <w:ind w:left="2900" w:hanging="361"/>
      </w:pPr>
      <w:rPr>
        <w:lang w:val="en-US" w:eastAsia="en-US" w:bidi="ar-SA"/>
      </w:rPr>
    </w:lvl>
    <w:lvl w:ilvl="6">
      <w:numFmt w:val="bullet"/>
      <w:lvlText w:val="•"/>
      <w:lvlJc w:val="left"/>
      <w:pPr>
        <w:ind w:left="4325" w:hanging="361"/>
      </w:pPr>
      <w:rPr>
        <w:lang w:val="en-US" w:eastAsia="en-US" w:bidi="ar-SA"/>
      </w:rPr>
    </w:lvl>
    <w:lvl w:ilvl="7">
      <w:numFmt w:val="bullet"/>
      <w:lvlText w:val="•"/>
      <w:lvlJc w:val="left"/>
      <w:pPr>
        <w:ind w:left="5750" w:hanging="361"/>
      </w:pPr>
      <w:rPr>
        <w:lang w:val="en-US" w:eastAsia="en-US" w:bidi="ar-SA"/>
      </w:rPr>
    </w:lvl>
    <w:lvl w:ilvl="8">
      <w:numFmt w:val="bullet"/>
      <w:lvlText w:val="•"/>
      <w:lvlJc w:val="left"/>
      <w:pPr>
        <w:ind w:left="7175" w:hanging="361"/>
      </w:pPr>
      <w:rPr>
        <w:lang w:val="en-US" w:eastAsia="en-US" w:bidi="ar-SA"/>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632"/>
    <w:rsid w:val="00094387"/>
    <w:rsid w:val="000D17C0"/>
    <w:rsid w:val="00107DA4"/>
    <w:rsid w:val="0019518A"/>
    <w:rsid w:val="001C2C99"/>
    <w:rsid w:val="002654AA"/>
    <w:rsid w:val="00425BB6"/>
    <w:rsid w:val="0062414A"/>
    <w:rsid w:val="00751632"/>
    <w:rsid w:val="00847AD9"/>
    <w:rsid w:val="008A118C"/>
    <w:rsid w:val="009115B4"/>
    <w:rsid w:val="00B13F21"/>
    <w:rsid w:val="00C95929"/>
    <w:rsid w:val="00D40D34"/>
    <w:rsid w:val="00D432F9"/>
    <w:rsid w:val="00D535AC"/>
    <w:rsid w:val="00D70669"/>
    <w:rsid w:val="00DE6FC4"/>
    <w:rsid w:val="00E31BE8"/>
    <w:rsid w:val="00E90A93"/>
    <w:rsid w:val="00EE0974"/>
    <w:rsid w:val="00F13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74E72"/>
  <w15:chartTrackingRefBased/>
  <w15:docId w15:val="{24A4674A-668A-406A-BB4E-E9BC69660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63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9115B4"/>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semiHidden/>
    <w:rsid w:val="009115B4"/>
    <w:rPr>
      <w:rFonts w:ascii="Arial" w:eastAsia="Arial" w:hAnsi="Arial" w:cs="Arial"/>
      <w:sz w:val="24"/>
      <w:szCs w:val="24"/>
      <w:lang w:val="en-US"/>
    </w:rPr>
  </w:style>
  <w:style w:type="paragraph" w:styleId="ListParagraph">
    <w:name w:val="List Paragraph"/>
    <w:basedOn w:val="Normal"/>
    <w:uiPriority w:val="1"/>
    <w:qFormat/>
    <w:rsid w:val="009115B4"/>
    <w:pPr>
      <w:widowControl w:val="0"/>
      <w:autoSpaceDE w:val="0"/>
      <w:autoSpaceDN w:val="0"/>
      <w:spacing w:after="0" w:line="240" w:lineRule="auto"/>
      <w:ind w:left="1123" w:hanging="720"/>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254517">
      <w:bodyDiv w:val="1"/>
      <w:marLeft w:val="0"/>
      <w:marRight w:val="0"/>
      <w:marTop w:val="0"/>
      <w:marBottom w:val="0"/>
      <w:divBdr>
        <w:top w:val="none" w:sz="0" w:space="0" w:color="auto"/>
        <w:left w:val="none" w:sz="0" w:space="0" w:color="auto"/>
        <w:bottom w:val="none" w:sz="0" w:space="0" w:color="auto"/>
        <w:right w:val="none" w:sz="0" w:space="0" w:color="auto"/>
      </w:divBdr>
    </w:div>
    <w:div w:id="121288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4603D822F2B84C9600B141FA5519CA" ma:contentTypeVersion="10" ma:contentTypeDescription="Create a new document." ma:contentTypeScope="" ma:versionID="e2a4aa0f9820e4c3cc0c5bbb6b803747">
  <xsd:schema xmlns:xsd="http://www.w3.org/2001/XMLSchema" xmlns:xs="http://www.w3.org/2001/XMLSchema" xmlns:p="http://schemas.microsoft.com/office/2006/metadata/properties" xmlns:ns3="d91d9b79-e53d-402b-9381-5e42d4c60354" targetNamespace="http://schemas.microsoft.com/office/2006/metadata/properties" ma:root="true" ma:fieldsID="a342daa9b6224bf259f3b635a27cf0d9" ns3:_="">
    <xsd:import namespace="d91d9b79-e53d-402b-9381-5e42d4c603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1d9b79-e53d-402b-9381-5e42d4c60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7CC5E4-A1CA-4007-A8D1-6C809BAACFE8}">
  <ds:schemaRefs>
    <ds:schemaRef ds:uri="http://schemas.microsoft.com/sharepoint/v3/contenttype/forms"/>
  </ds:schemaRefs>
</ds:datastoreItem>
</file>

<file path=customXml/itemProps2.xml><?xml version="1.0" encoding="utf-8"?>
<ds:datastoreItem xmlns:ds="http://schemas.openxmlformats.org/officeDocument/2006/customXml" ds:itemID="{0B703E75-058B-440B-8B71-87CEF6842FA9}">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d91d9b79-e53d-402b-9381-5e42d4c60354"/>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F832533-9BE8-4377-9E08-2FD220AFA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1d9b79-e53d-402b-9381-5e42d4c60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Thurston, David</dc:creator>
  <cp:keywords/>
  <dc:description/>
  <cp:lastModifiedBy>David Thurston</cp:lastModifiedBy>
  <cp:revision>2</cp:revision>
  <dcterms:created xsi:type="dcterms:W3CDTF">2020-11-27T10:15:00Z</dcterms:created>
  <dcterms:modified xsi:type="dcterms:W3CDTF">2020-11-27T10:15:00Z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0x010100594603D822F2B84C9600B141FA5519CA</vt:lpwstr>
  </property>
</Properties>
</file>